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7. Unlawfully introducing department-raised fish or fish spa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7. Unlawfully introducing department-raised fish or fish spa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7. UNLAWFULLY INTRODUCING DEPARTMENT-RAISED FISH OR FISH SPA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