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12752</w:t>
        <w:t xml:space="preserve">.  </w:t>
      </w:r>
      <w:r>
        <w:rPr>
          <w:b/>
        </w:rPr>
        <w:t xml:space="preserve">United States Fish and Wildlife Service</w:t>
      </w:r>
    </w:p>
    <w:p>
      <w:pPr>
        <w:jc w:val="both"/>
        <w:spacing w:before="100" w:after="100"/>
        <w:ind w:start="360"/>
        <w:ind w:firstLine="360"/>
      </w:pPr>
      <w:r>
        <w:rPr/>
      </w:r>
      <w:r>
        <w:rPr/>
      </w:r>
      <w:r>
        <w:t xml:space="preserve">The United States Fish and Wildlife Service and its duly authorized agents may conduct fish culture operations and scientific investigations in the waters of this State in such manner and at such times as the service and its agents consider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§12752. United States Fish and Wildlife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§12752. United States Fish and Wildlife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§12752. UNITED STATES FISH AND WILDLIFE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