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§12758-A. Fish stocking;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§12758-A. Fish stocking;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§12758-A. FISH STOCKING;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