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12902</w:t>
        <w:t xml:space="preserve">.  </w:t>
      </w:r>
      <w:r>
        <w:rPr>
          <w:b/>
        </w:rPr>
        <w:t xml:space="preserve">Legislative findings</w:t>
      </w:r>
    </w:p>
    <w:p>
      <w:pPr>
        <w:jc w:val="both"/>
        <w:spacing w:before="100" w:after="100"/>
        <w:ind w:start="360"/>
        <w:ind w:firstLine="360"/>
      </w:pPr>
      <w:r>
        <w:rPr/>
      </w:r>
      <w:r>
        <w:rPr/>
      </w:r>
      <w:r>
        <w:t xml:space="preserve">The Legislature finds that the recreational use of watercraft on rapidly flowing rivers in this State has become an increasingly popular sport.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increased use of the State's rapidly flowing rivers has increased the environmental, physical and social burdens on that resource.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for the State, as trustee of the public waters, to regulate commercial whitewater rafting, pursuant to:  the State's authority to protect the health, safety and welfare of its citizens; the State's authority to protect its natural resources or rapidly flowing rivers; and the State's authority over the care, supervision and protection of navigation.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 exercising this authority, it is in the public interest for the State to adopt measures to ensure the competence of commercial whitewater outfitters; to adopt recreational use limits; and to allocate the privilege of commercial use where necessary to meet the objectives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to allow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