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§12910. SAFETY; ORDER OF LAUNCH; SAFETY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