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§13069-B. Watercraft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§13069-B. WATERCRAFT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