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Operating personal watercraft</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 xml:space="preserve">Operating personal watercraft while 16 years of age or older and under 18 years of age; boater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 MRSA T. 12 §13071-A, sub-§5 (RP).]</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§13071-A.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