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§13106-C. Snowmobile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§13106-C. Snowmobile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§13106-C. SNOWMOBILE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