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§1804. POWERS AND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