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1822</w:t>
        <w:t xml:space="preserve">.  </w:t>
      </w:r>
      <w:r>
        <w:rPr>
          <w:b/>
        </w:rPr>
        <w:t xml:space="preserve">Cooperate with federal agencies</w:t>
      </w:r>
    </w:p>
    <w:p>
      <w:pPr>
        <w:jc w:val="both"/>
        <w:spacing w:before="100" w:after="100"/>
        <w:ind w:start="360"/>
        <w:ind w:firstLine="360"/>
      </w:pPr>
      <w:r>
        <w:rPr/>
      </w:r>
      <w:r>
        <w:rPr/>
      </w:r>
      <w:r>
        <w:t xml:space="preserve">The bureau may cooperate with federal agencies in the planning, development, maintenance and use of recreation areas.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§1822. Cooperate with federal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§1822. Cooperate with federal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§1822. COOPERATE WITH FEDERAL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