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1823</w:t>
        <w:t xml:space="preserve">.  </w:t>
      </w:r>
      <w:r>
        <w:rPr>
          <w:b/>
        </w:rPr>
        <w:t xml:space="preserve">Assist county and municipal agencies</w:t>
      </w:r>
    </w:p>
    <w:p>
      <w:pPr>
        <w:jc w:val="both"/>
        <w:spacing w:before="100" w:after="100"/>
        <w:ind w:start="360"/>
        <w:ind w:firstLine="360"/>
      </w:pPr>
      <w:r>
        <w:rPr/>
      </w:r>
      <w:r>
        <w:rPr/>
      </w:r>
      <w:r>
        <w:t xml:space="preserve">The bureau may assist state, county and municipal agencies in studying and planning for their recreation areas and programs.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§1823. Assist county and municipal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§1823. Assist county and municipal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§1823. ASSIST COUNTY AND MUNICIPAL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