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§1893. Off-road Recreational Vehicle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 Off-road Recreational Vehicle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 OFF-ROAD RECREATIONAL VEHICLE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