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 officers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§4605. -- OFFICERS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