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4608</w:t>
        <w:t xml:space="preserve">.  </w:t>
      </w:r>
      <w:r>
        <w:rPr>
          <w:b/>
        </w:rPr>
        <w:t xml:space="preserve">Participation limited -- Article VIII</w:t>
      </w:r>
    </w:p>
    <w:p>
      <w:pPr>
        <w:jc w:val="both"/>
        <w:spacing w:before="100" w:after="100"/>
        <w:ind w:start="360"/>
        <w:ind w:firstLine="360"/>
      </w:pPr>
      <w:r>
        <w:rPr/>
      </w:r>
      <w:r>
        <w:rPr/>
      </w:r>
      <w:r>
        <w:t xml:space="preserve">When any state other than those named specifically in </w:t>
      </w:r>
      <w:r>
        <w:t>Article II</w:t>
      </w:r>
      <w:r>
        <w:t xml:space="preserve"> of this compact shall become a party thereto for the purpose of conserving its anadromous fish in accordance with </w:t>
      </w:r>
      <w:r>
        <w:t>Article II</w:t>
      </w:r>
      <w:r>
        <w:t xml:space="preserve"> the participation of such state in the action of the commission shall be limited to such species of anadromous fish.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§4608. Participation limited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§4608. Participation limited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§4608. PARTICIPATION LIMITED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