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Renunciation -- Article XII</w:t>
      </w:r>
    </w:p>
    <w:p>
      <w:pPr>
        <w:jc w:val="both"/>
        <w:spacing w:before="100" w:after="100"/>
        <w:ind w:start="360"/>
        <w:ind w:firstLine="360"/>
      </w:pPr>
      <w:r>
        <w:rPr/>
      </w:r>
      <w:r>
        <w:rPr/>
      </w:r>
      <w:r>
        <w:t xml:space="preserve">This compact shall continue in force and remain binding upon each compacting state until renounced by it. Renunciation of this compact must be preceded by sending 6 months' notice in writing of intention to withdraw from the compact to the other states party 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§4612. Renunciation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Renunciation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§4612. RENUNCIATION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