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4653</w:t>
        <w:t xml:space="preserve">.  </w:t>
      </w:r>
      <w:r>
        <w:rPr>
          <w:b/>
        </w:rPr>
        <w:t xml:space="preserve">Powers</w:t>
      </w:r>
    </w:p>
    <w:p>
      <w:pPr>
        <w:jc w:val="both"/>
        <w:spacing w:before="100" w:after="100"/>
        <w:ind w:start="360"/>
        <w:ind w:firstLine="360"/>
      </w:pPr>
      <w:r>
        <w:rPr/>
      </w:r>
      <w:r>
        <w:rPr/>
      </w:r>
      <w:r>
        <w:t xml:space="preserve">There is granted to the commission and the commissioners thereof all the powers provided for in the said compact and all the powers necessary or incidental to the carrying out of said compact in every particular. All officers of the State of Maine are authorized and directed to do all things falling within their respective provinces and jurisdiction necessary or incidental to the carrying out of said compact in every particular, it being declared to be the policy of the State of Maine to perform and carry out the said compact and to accomplish the purposes thereof. All officers, bureaus, departments and persons of and in the State Government or administration of the State of Maine are authorized and directed at convenient times and upon request of the said commission to furnish the said commission with information and data possessed by them or any of them and to aid said commission by loan of personnel or other means lying within their legal rights respectively.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§4653.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