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4807-G</w:t>
        <w:t xml:space="preserve">.  </w:t>
      </w:r>
      <w:r>
        <w:rPr>
          <w:b/>
        </w:rPr>
        <w:t xml:space="preserve">Violations</w:t>
      </w:r>
    </w:p>
    <w:p>
      <w:pPr>
        <w:jc w:val="both"/>
        <w:spacing w:before="100" w:after="100"/>
        <w:ind w:start="360"/>
        <w:ind w:firstLine="360"/>
      </w:pPr>
      <w:r>
        <w:rPr/>
      </w:r>
      <w:r>
        <w:rPr/>
      </w:r>
      <w:r>
        <w:t xml:space="preserve">Each day of violation of any provision of this chapter or the rules enacted under this chapter is considered a separate offense. Alternatively, and in addition to being an offense, any use of land in violation of this chapter is considered to be a nuisance and the Department of Health and Human Services may seek an injunction to prevent or abate a violation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462, Pt. A, §31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1977, c. 300, §7 (RPR). PL 1995, c. 462, §A31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§4807-G.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§4807-G.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§4807-G.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