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54-A</w:t>
        <w:t xml:space="preserve">.  </w:t>
      </w:r>
      <w:r>
        <w:rPr>
          <w:b/>
        </w:rPr>
        <w:t xml:space="preserve">Budget</w:t>
      </w:r>
    </w:p>
    <w:p>
      <w:pPr>
        <w:jc w:val="both"/>
        <w:spacing w:before="100" w:after="100"/>
        <w:ind w:start="360"/>
        <w:ind w:firstLine="360"/>
      </w:pPr>
      <w:r>
        <w:rPr/>
      </w:r>
      <w:r>
        <w:rPr/>
      </w:r>
      <w:r>
        <w:t xml:space="preserve">That part of the department's budget that pertains to the operations of the soil and water conservation districts must be separately identified as a major budget area within the department's budget.</w:t>
      </w:r>
      <w:r>
        <w:t xml:space="preserve">  </w:t>
      </w:r>
      <w:r xmlns:wp="http://schemas.openxmlformats.org/drawingml/2010/wordprocessingDrawing" xmlns:w15="http://schemas.microsoft.com/office/word/2012/wordml">
        <w:rPr>
          <w:rFonts w:ascii="Arial" w:hAnsi="Arial" w:cs="Arial"/>
          <w:sz w:val="22"/>
          <w:szCs w:val="22"/>
        </w:rPr>
        <w:t xml:space="preserve">[PL 1995, c. 532,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