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§6035. Commercial safety fishing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§6035. Commercial safety fishing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§6035. COMMERCIAL SAFETY FISHING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