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6082</w:t>
        <w:t xml:space="preserve">.  </w:t>
      </w:r>
      <w:r>
        <w:rPr>
          <w:b/>
        </w:rPr>
        <w:t xml:space="preserve">Confidentiality provisions for aquaculture information from other jurisdictions</w:t>
      </w:r>
    </w:p>
    <w:p>
      <w:pPr>
        <w:jc w:val="both"/>
        <w:spacing w:before="100" w:after="100"/>
        <w:ind w:start="360"/>
        <w:ind w:firstLine="360"/>
      </w:pPr>
      <w:r>
        <w:rPr/>
      </w:r>
      <w:r>
        <w:rPr/>
      </w:r>
      <w:r>
        <w:t xml:space="preserve">Information obtained from other state, federal or foreign government agencies about aquaculture operations in other states, foreign countries or the exclusive economic zone that is designated as confidential by the jurisdiction from which it is obtained and that must remain confidential as a condition of receipt must be kept confidential by the department.  Such information is not a public record as defined in </w:t>
      </w:r>
      <w:r>
        <w:t>Title 1, section 402, subsection 3</w:t>
      </w:r>
      <w:r>
        <w:t xml:space="preserve">.  This section does not apply to aquaculture operations conducted in Maine.</w:t>
      </w:r>
      <w:r>
        <w:t xml:space="preserve">  </w:t>
      </w:r>
      <w:r xmlns:wp="http://schemas.openxmlformats.org/drawingml/2010/wordprocessingDrawing" xmlns:w15="http://schemas.microsoft.com/office/word/2012/wordml">
        <w:rPr>
          <w:rFonts w:ascii="Arial" w:hAnsi="Arial" w:cs="Arial"/>
          <w:sz w:val="22"/>
          <w:szCs w:val="22"/>
        </w:rPr>
        <w:t xml:space="preserve">[PL 2007, c. 212,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§6082. Confidentiality provisions for aquaculture information from other jurisdictions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§6082. Confidentiality provisions for aquaculture information from other jurisdictions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§6082. CONFIDENTIALITY PROVISIONS FOR AQUACULTURE INFORMATION FROM OTHER JURISDICTIONS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