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6173-B</w:t>
        <w:t xml:space="preserve">.  </w:t>
      </w:r>
      <w:r>
        <w:rPr>
          <w:b/>
        </w:rPr>
        <w:t xml:space="preserve">Special licenses; mandatory quality control program; shellfish sanitation and depuration certificates; confidentiality of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512, §3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pursuant to provisions regarding special licenses for research, aquaculture or education under </w:t>
      </w:r>
      <w:r>
        <w:t>section 6074</w:t>
      </w:r>
      <w:r>
        <w:t xml:space="preserve">, surveillance and inspection of all segments of the State's fishing industries under </w:t>
      </w:r>
      <w:r>
        <w:t>section 6102</w:t>
      </w:r>
      <w:r>
        <w:t xml:space="preserve"> or the shellfish sanitation certificate and the depuration certificate under </w:t>
      </w:r>
      <w:r>
        <w:t>section 6856</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§6173-B. Special licenses; mandatory quality control program; shellfish sanitation and depuration certificates; confidentiality of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§6173-B. Special licenses; mandatory quality control program; shellfish sanitation and depuration certificates; confidentiality of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§6173-B. SPECIAL LICENSES; MANDATORY QUALITY CONTROL PROGRAM; SHELLFISH SANITATION AND DEPURATION CERTIFICATES; CONFIDENTIALITY OF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