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Certificate as evidence</w:t>
      </w:r>
    </w:p>
    <w:p>
      <w:pPr>
        <w:jc w:val="both"/>
        <w:spacing w:before="100" w:after="100"/>
        <w:ind w:start="360"/>
        <w:ind w:firstLine="360"/>
      </w:pPr>
      <w:r>
        <w:rPr/>
      </w:r>
      <w:r>
        <w:rPr/>
      </w:r>
      <w:r>
        <w:t xml:space="preserve">A certificate of the commissioner, deputy commissioner or Chief of the Bureau of Marine Patrol stating what the records of the department show is admissible as evidence in all courts as proof of the department records. A certificate stating that the records do not show that a person held a license is prima facie evidence that the person did not hold the license on the date specified in the certificate. The certified copy is admissible in evidence on the testimony of an officer that the officer received the certificate after requesting it by telephone or otherwise from the department. A further foundation is not necessary for the admission of the certificate.</w:t>
      </w:r>
      <w:r>
        <w:t xml:space="preserve">  </w:t>
      </w:r>
      <w:r xmlns:wp="http://schemas.openxmlformats.org/drawingml/2010/wordprocessingDrawing" xmlns:w15="http://schemas.microsoft.com/office/word/2012/wordml">
        <w:rPr>
          <w:rFonts w:ascii="Arial" w:hAnsi="Arial" w:cs="Arial"/>
          <w:sz w:val="22"/>
          <w:szCs w:val="22"/>
        </w:rPr>
        <w:t xml:space="preserve">[RR 2021,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§6205.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