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§6310-A. APPEAL OF LICENSE DENIAL; ARMED FORCES OR COAST GUARD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