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§6401. SUSPENSION OR REVOCATION BASED ON CONVICTION OR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