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6402-A</w:t>
        <w:t xml:space="preserve">.  </w:t>
      </w:r>
      <w:r>
        <w:rPr>
          <w:b/>
        </w:rPr>
        <w:t xml:space="preserve">Suspension based on conviction of dragging in cable area</w:t>
      </w:r>
    </w:p>
    <w:p>
      <w:pPr>
        <w:jc w:val="both"/>
        <w:spacing w:before="100" w:after="100"/>
        <w:ind w:start="360"/>
        <w:ind w:firstLine="360"/>
      </w:pPr>
      <w:r>
        <w:rPr/>
      </w:r>
      <w:r>
        <w:rPr/>
      </w:r>
      <w:r>
        <w:t xml:space="preserve">For any person convicted in court of violating </w:t>
      </w:r>
      <w:r>
        <w:t>section 6954</w:t>
      </w:r>
      <w:r>
        <w:t xml:space="preserve"> or </w:t>
      </w:r>
      <w:r>
        <w:t>6954‑A</w:t>
      </w:r>
      <w:r>
        <w:t xml:space="preserve">, the commissioner shall suspend the license authorizing the activity in which the person was engaged at the time of the violation.  The suspension shall be for one year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1987,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§1 (NEW). PL 1987,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§6402-A. Suspension based on conviction of dragging in cable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§6402-A. Suspension based on conviction of dragging in cable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§6402-A. SUSPENSION BASED ON CONVICTION OF DRAGGING IN CABLE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