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6402-C</w:t>
        <w:t xml:space="preserve">.  </w:t>
      </w:r>
      <w:r>
        <w:rPr>
          <w:b/>
        </w:rPr>
        <w:t xml:space="preserve">Suspension based on 2 or more convictions of dragging within the prohibited area surrounding aquaculture operations</w:t>
      </w:r>
    </w:p>
    <w:p>
      <w:pPr>
        <w:jc w:val="both"/>
        <w:spacing w:before="100" w:after="100"/>
        <w:ind w:start="360"/>
        <w:ind w:firstLine="360"/>
      </w:pPr>
      <w:r>
        <w:rPr/>
      </w:r>
      <w:r>
        <w:rPr/>
      </w:r>
      <w:r>
        <w:t xml:space="preserve">For any person convicted of a 2nd or subsequent offense of </w:t>
      </w:r>
      <w:r>
        <w:t>section 6957, subsection 1</w:t>
      </w:r>
      <w:r>
        <w:t xml:space="preserve">, the commissioner shall suspend the license authorizing the activity in which the person was engaged at the time of the violation.  The suspension is for 5 years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1995, c. 169,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§6402-C. Suspension based on 2 or more convictions of dragging within the prohibited area surrounding aquaculture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§6402-C. Suspension based on 2 or more convictions of dragging within the prohibited area surrounding aquaculture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§6402-C. SUSPENSION BASED ON 2 OR MORE CONVICTIONS OF DRAGGING WITHIN THE PROHIBITED AREA SURROUNDING AQUACULTURE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