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Lobster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§6451. LOBSTER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