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§6544. Sealing of herring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§6544. Sealing of herring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§6544. SEALING OF HERRING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