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§6671. MUNICIPAL SHELLFISH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