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6728-A</w:t>
        <w:t xml:space="preserve">.  </w:t>
      </w:r>
      <w:r>
        <w:rPr>
          <w:b/>
        </w:rPr>
        <w:t xml:space="preserve">Shell size minimum</w:t>
      </w:r>
    </w:p>
    <w:p>
      <w:pPr>
        <w:jc w:val="both"/>
        <w:spacing w:before="100" w:after="100"/>
        <w:ind w:start="360"/>
      </w:pPr>
      <w:r>
        <w:rPr>
          <w:b/>
        </w:rPr>
        <w:t>(REALLOCATED FROM TITLE 12, SECTION 6729)</w:t>
      </w:r>
    </w:p>
    <w:p>
      <w:pPr>
        <w:jc w:val="both"/>
        <w:spacing w:before="100" w:after="100"/>
        <w:ind w:start="360"/>
      </w:pPr>
      <w:r>
        <w:rPr>
          <w:b/>
        </w:rPr>
        <w:t>(REALLOCATED TO TITLE 12, SECTION 6721-A)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§7 (RAL). PL 2003, c. 520, §8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§6728-A. Shell size minimum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§6728-A. Shell size minimum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§6728-A. SHELL SIZE MINIMUM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