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6814</w:t>
        <w:t xml:space="preserve">.  </w:t>
      </w:r>
      <w:r>
        <w:rPr>
          <w:b/>
        </w:rPr>
        <w:t xml:space="preserve">Sea cucumber rules</w:t>
      </w:r>
    </w:p>
    <w:p>
      <w:pPr>
        <w:jc w:val="both"/>
        <w:spacing w:before="100" w:after="100"/>
        <w:ind w:start="360"/>
        <w:ind w:firstLine="360"/>
      </w:pPr>
      <w:r>
        <w:rPr/>
      </w:r>
      <w:r>
        <w:rPr/>
      </w:r>
      <w:r>
        <w:t xml:space="preserve">The commissioner may adopt rules under </w:t>
      </w:r>
      <w:r>
        <w:t>chapter 607, subchapter 1</w:t>
      </w:r>
      <w:r>
        <w:t xml:space="preserve"> to promote the conservation and propagation of sea cucumbers.  Those rules may include, but are not limited to, the establishment of management areas in which the harvest of sea cucumbers will be permitted, limits on the number of licenses associated with those management areas and annual limits on total harvest from each of those management areas.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§6814. Sea cucumber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§6814. Sea cucumber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§6814. SEA CUCUMBER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