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§6956. Diver's down flag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§6956. Diver's down flag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§6956. DIVER'S DOWN FLAG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