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6972</w:t>
        <w:t xml:space="preserve">.  </w:t>
      </w:r>
      <w:r>
        <w:rPr>
          <w:b/>
        </w:rPr>
        <w:t xml:space="preserve">Commissioner's programs</w:t>
      </w:r>
    </w:p>
    <w:p>
      <w:pPr>
        <w:jc w:val="both"/>
        <w:spacing w:before="100" w:after="100"/>
        <w:ind w:start="360"/>
        <w:ind w:firstLine="360"/>
      </w:pPr>
      <w:r>
        <w:rPr/>
      </w:r>
      <w:r>
        <w:rPr/>
      </w:r>
      <w:r>
        <w:t xml:space="preserve">The commissioner may establish such programs as are necessary for the protection of marine species listed pursuant to this chapter in order to achieve compliance with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§6972. Commissioner's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§6972. Commissioner's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§6972. COMMISSIONER'S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