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Limitations on state consent</w:t>
      </w:r>
    </w:p>
    <w:p>
      <w:pPr>
        <w:jc w:val="both"/>
        <w:spacing w:before="100" w:after="100"/>
        <w:ind w:start="360"/>
        <w:ind w:firstLine="360"/>
      </w:pPr>
      <w:r>
        <w:rPr/>
      </w:r>
      <w:r>
        <w:rPr/>
      </w:r>
      <w:r>
        <w:t xml:space="preserve">The consent of the State of Maine to the United States of America to the acquisition of lands within the State by the United States of America for the establishment, consolidation and extension of national forests or any lands of a riparian nature or any lands with riparian rights appurtenant thereto or that are necessary for any hydraulic development within this State is limited to the consent granted by this section and </w:t>
      </w:r>
      <w:r>
        <w:t>section 752</w:t>
      </w:r>
      <w:r>
        <w:t xml:space="preserve">, and when such lands are acquired by the United States of America they must be held subject to all of the provisions of said sections so long as the ownership thereof is retained by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2005, c. 258,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Limitations on state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Limitations on state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§754. LIMITATIONS ON STATE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