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Public shade trees</w:t>
      </w:r>
    </w:p>
    <w:p>
      <w:pPr>
        <w:jc w:val="both"/>
        <w:spacing w:before="100" w:after="100"/>
        <w:ind w:start="360"/>
        <w:ind w:firstLine="360"/>
      </w:pPr>
      <w:r>
        <w:rPr/>
      </w:r>
      <w:r>
        <w:rPr/>
      </w:r>
      <w:r>
        <w:t xml:space="preserve">To promote aesthetic and environmental values of trees to communities and to restore those values lost through death of trees from insect and disease depredation, soil depletion, adverse growth factors and old age, the director may enter into agreement with municipal officials and Penobscot and Passamaquoddy tribal governments to pay, so far as funds are available, up to 50% of the costs of procuring young tree-planting stock and planting and general care of public shade trees. Whenever the State does contribute funds for this purpose, it shall have the authority to establish requirements for a municipal tree care program and requirements and procedures relative to selecting, planting, and care of such trees. This program is not intended to extend beyond village or community limits, except for municipal parks or cemeteries.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§8702. Public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Public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§8702. PUBLIC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