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8867-A</w:t>
        <w:t xml:space="preserve">.  </w:t>
      </w:r>
      <w:r>
        <w:rPr>
          <w:b/>
        </w:rPr>
        <w:t xml:space="preserve">Rulemaking</w:t>
      </w:r>
    </w:p>
    <w:p>
      <w:pPr>
        <w:jc w:val="both"/>
        <w:spacing w:before="100" w:after="100"/>
        <w:ind w:start="360"/>
        <w:ind w:firstLine="360"/>
      </w:pPr>
      <w:r>
        <w:rPr/>
      </w:r>
      <w:r>
        <w:rPr/>
      </w:r>
      <w:r>
        <w:t xml:space="preserve">The Commissioner of Agriculture, Conservation and Forestry may adopt rules to implement this subchapter.  Rules adopted pursuant to this subchapter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w:pPr>
        <w:jc w:val="both"/>
        <w:spacing w:before="100" w:after="100"/>
        <w:ind w:start="360"/>
        <w:ind w:firstLine="360"/>
      </w:pPr>
      <w:r>
        <w:rPr/>
      </w:r>
      <w:r>
        <w:rPr/>
      </w:r>
      <w:r>
        <w:t xml:space="preserve">The Commissioner of Agriculture, Conservation and Forestry shall consult with the Commissioner of Environmental Protection and the Commissioner of Inland Fisheries and Wildlife to ensure that rules adopted under this subchapter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§2 (NEW). PL 2013, c. 405,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§8867-A.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§8867-A.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§8867-A.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