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8908</w:t>
        <w:t xml:space="preserve">.  </w:t>
      </w:r>
      <w:r>
        <w:rPr>
          <w:b/>
        </w:rPr>
        <w:t xml:space="preserve">Aerial Fire Suppression Fund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 Aerial Fire Suppression Fund, referred to in this section as "the fund," is established through the Office of the State Controller as a nonlapsing fund under the jurisdiction of the bureau to ensure the viability of its aerial fire suppression program.  The bureau may assess charges to agencies of the State for the use of the bureau's aerial fire suppression resources for purposes other than fire suppression and shall deposit any such money received into the fund.  The bureau may apply for and accept any appropriation, grant, gift or service made available from any public or private source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 §1 (NEW); PL 2011, c. 657, Pt. W, §7 (REV); PL 2013, c. 405, Pt. A, §23 (REV).]</w:t>
      </w:r>
    </w:p>
    <w:p>
      <w:pPr>
        <w:jc w:val="both"/>
        <w:spacing w:before="100" w:after="0"/>
        <w:ind w:start="360"/>
        <w:ind w:firstLine="360"/>
      </w:pPr>
      <w:r>
        <w:rPr>
          <w:b/>
        </w:rPr>
        <w:t>2</w:t>
        <w:t xml:space="preserve">.  </w:t>
      </w:r>
      <w:r>
        <w:rPr>
          <w:b/>
        </w:rPr>
        <w:t xml:space="preserve">Use of fund.</w:t>
        <w:t xml:space="preserve"> </w:t>
      </w:r>
      <w:r>
        <w:t xml:space="preserve"> </w:t>
      </w:r>
      <w:r>
        <w:t xml:space="preserve">The bureau may use the fund to pay operating expenses and to purchase aerial fire suppression resources, including helicopters, airplanes and spare parts, in accordance with the bureau's plan to diversify and modernize its aerial fire suppression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 §1 (NEW). PL 2011, c. 657, Pt. W, §7 (REV). PL 2013, c. 405, Pt. A, §23 (REV). PL 2019, c. 616, Pt. 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§8908. Aerial Fire Suppression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§8908. Aerial Fire Suppression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§8908. AERIAL FIRE SUPPRESSION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