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§9334. REMOVAL OF SLASH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