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9336</w:t>
        <w:t xml:space="preserve">.  </w:t>
      </w:r>
      <w:r>
        <w:rPr>
          <w:b/>
        </w:rPr>
        <w:t xml:space="preserve">Manner of</w:t>
      </w:r>
    </w:p>
    <w:p>
      <w:pPr>
        <w:jc w:val="both"/>
        <w:spacing w:before="100" w:after="100"/>
        <w:ind w:start="360"/>
        <w:ind w:firstLine="360"/>
      </w:pPr>
      <w:r>
        <w:rPr/>
      </w:r>
      <w:r>
        <w:rPr/>
      </w:r>
      <w:r>
        <w:t xml:space="preserve">All slash resulting from cutting of forest growth shall be removed the required distances under this Article and scattered or chipped and not piled in windrows within 30 days after cutting or within 30 days of notification to remove by the director, as provided.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§9336. Manner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§9336. Manner 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§9336. MANNER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