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Effect of statement of revocation of voluntary dissolution proceedings</w:t>
      </w:r>
    </w:p>
    <w:p>
      <w:pPr>
        <w:jc w:val="both"/>
        <w:spacing w:before="100" w:after="100"/>
        <w:ind w:start="360"/>
        <w:ind w:firstLine="360"/>
      </w:pPr>
      <w:r>
        <w:rPr/>
      </w:r>
      <w:r>
        <w:rPr/>
      </w:r>
      <w:r>
        <w:t xml:space="preserve">Upon the filing by the Secretary of State of a statement of revocation of voluntary dissolution proceedings, whether by resolution of the board approved by the members or by action of the board in the absence of any members, or any members entitled to vote thereon, the revocation of the voluntary dissolution proceedings shall become effective, and the corporation may again carry on its activities.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Effect of statement of revocation of voluntary dissolution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Effect of statement of revocation of voluntary dissolution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§1103. EFFECT OF STATEMENT OF REVOCATION OF VOLUNTARY DISSOLUTION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