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Surrender of foreign corporation's authority to carry on activities in State</w:t>
      </w:r>
    </w:p>
    <w:p>
      <w:pPr>
        <w:jc w:val="both"/>
        <w:spacing w:before="100" w:after="100"/>
        <w:ind w:start="360"/>
        <w:ind w:firstLine="360"/>
      </w:pPr>
      <w:r>
        <w:rPr>
          <w:b/>
        </w:rPr>
        <w:t>1</w:t>
        <w:t xml:space="preserve">.  </w:t>
      </w:r>
      <w:r>
        <w:rPr>
          <w:b/>
        </w:rPr>
        <w:t xml:space="preserve">Surrender of authority.</w:t>
        <w:t xml:space="preserve"> </w:t>
      </w:r>
      <w:r>
        <w:t xml:space="preserve"> </w:t>
      </w:r>
      <w:r>
        <w:t xml:space="preserve">A foreign corporation authorized to carry on activities in this State may surrender its authority by executing and delivering for filing, as provided in </w:t>
      </w:r>
      <w:r>
        <w:t>sections 104</w:t>
      </w:r>
      <w:r>
        <w:t xml:space="preserve"> and </w:t>
      </w:r>
      <w:r>
        <w:t>106</w:t>
      </w:r>
      <w:r>
        <w:t xml:space="preserve">, an application for surrender of authority which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corporation is not as of the date of application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it surrenders its authority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That it revokes the authority of its registered agent in this State to accept services of process and consents that process in any action, suit or proceeding based upon any cause of action arising in this State before the date of filing the application may be served on the Secretary of State after the filing by the Secretary of State of the application;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A post office address to which the Secretary of State shall mail a copy of any process served upon him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Termination of authority.</w:t>
        <w:t xml:space="preserve"> </w:t>
      </w:r>
      <w:r>
        <w:t xml:space="preserve"> </w:t>
      </w:r>
      <w:r>
        <w:t xml:space="preserve">The authority of the foreign corporation to carry on activities in this State shall terminate as of the date of filing by the Secretary of State of the application for surrender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Cancellation of authority.</w:t>
        <w:t xml:space="preserve"> </w:t>
      </w:r>
      <w:r>
        <w:t xml:space="preserve"> </w:t>
      </w:r>
      <w:r>
        <w:t xml:space="preserve">If a foreign nonprofit corporation files articles of domestication and conversion as set forth in </w:t>
      </w:r>
      <w:r>
        <w:t>Title 13‑C, chapter 9</w:t>
      </w:r>
      <w:r>
        <w:t xml:space="preserve">, its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§1208. SURRENDER OF FOREIGN CORPORATION'S AUTHORITY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