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Reservation of power</w:t>
      </w:r>
    </w:p>
    <w:p>
      <w:pPr>
        <w:jc w:val="both"/>
        <w:spacing w:before="100" w:after="100"/>
        <w:ind w:start="360"/>
        <w:ind w:firstLine="360"/>
      </w:pPr>
      <w:r>
        <w:rPr/>
      </w:r>
      <w:r>
        <w:rPr/>
      </w:r>
      <w:r>
        <w:t xml:space="preserve">The Legislature of this State has the power to amend or repeal all or part of this Act at any time, and all domestic and foreign corporations subject to this Act are governed by the amendment or repeal.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§105.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