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Unsworn falsification</w:t>
      </w:r>
    </w:p>
    <w:p>
      <w:pPr>
        <w:jc w:val="both"/>
        <w:spacing w:before="100" w:after="100"/>
        <w:ind w:start="360"/>
        <w:ind w:firstLine="360"/>
      </w:pPr>
      <w:r>
        <w:rPr/>
      </w:r>
      <w:r>
        <w:rPr/>
      </w:r>
      <w:r>
        <w:t xml:space="preserve">The execution of a certificate or articles containing one or more false statements constitutes unsworn falsification under </w:t>
      </w:r>
      <w:r>
        <w:t>Title 17‑A, section 453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 Unsworn falsification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Unsworn falsification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 UNSWORN FALSIFICATION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