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Notice of appraisal rights</w:t>
      </w:r>
    </w:p>
    <w:p>
      <w:pPr>
        <w:jc w:val="both"/>
        <w:spacing w:before="100" w:after="0"/>
        <w:ind w:start="360"/>
        <w:ind w:firstLine="360"/>
      </w:pPr>
      <w:r>
        <w:rPr>
          <w:b/>
        </w:rPr>
        <w:t>1</w:t>
        <w:t xml:space="preserve">.  </w:t>
      </w:r>
      <w:r>
        <w:rPr>
          <w:b/>
        </w:rPr>
        <w:t xml:space="preserve">Meeting notice.</w:t>
        <w:t xml:space="preserve"> </w:t>
      </w:r>
      <w:r>
        <w:t xml:space="preserve"> </w:t>
      </w:r>
      <w:r>
        <w:t xml:space="preserve">If a proposed corporate action described in </w:t>
      </w:r>
      <w:r>
        <w:t>section 1302</w:t>
      </w:r>
      <w:r>
        <w:t xml:space="preserve"> is to be submitted to a vote at a shareholders' meeting, the meeting notice must state that the corporation has concluded that shareholders are, are not or may be entitled to assert appraisal rights under this chapter.  If the corporation concludes that appraisal rights are or may be available, a copy of this chapter must accompany the meeting notice sent to those record shareholders entitled to exercise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of corporate action.</w:t>
        <w:t xml:space="preserve"> </w:t>
      </w:r>
      <w:r>
        <w:t xml:space="preserve"> </w:t>
      </w:r>
      <w:r>
        <w:t xml:space="preserve">In a merger pursuant to </w:t>
      </w:r>
      <w:r>
        <w:t>section 1105</w:t>
      </w:r>
      <w:r>
        <w:t xml:space="preserve">, the parent corporation shall notify in writing all record shareholders of the subsidiary who are entitled to assert appraisal rights that a corporate action became effective.  The notice must be sent within 10 days after the corporate action became effective and include the materials described in </w:t>
      </w:r>
      <w:r>
        <w:t>section 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Action by written consent.</w:t>
        <w:t xml:space="preserve"> </w:t>
      </w:r>
      <w:r>
        <w:t xml:space="preserve"> </w:t>
      </w:r>
      <w:r>
        <w:t xml:space="preserve">If a corporate action specified in </w:t>
      </w:r>
      <w:r>
        <w:t>section 1302</w:t>
      </w:r>
      <w:r>
        <w:t xml:space="preserve"> is to be approved by written consent of the shareholders pursuant to </w:t>
      </w:r>
      <w:r>
        <w:t>section 704</w:t>
      </w:r>
      <w:r>
        <w:t xml:space="preserve">:</w:t>
      </w:r>
    </w:p>
    <w:p>
      <w:pPr>
        <w:jc w:val="both"/>
        <w:spacing w:before="100" w:after="0"/>
        <w:ind w:start="720"/>
      </w:pPr>
      <w:r>
        <w:rPr/>
        <w:t>A</w:t>
        <w:t xml:space="preserve">.  </w:t>
      </w:r>
      <w:r>
        <w:rPr/>
      </w:r>
      <w:r>
        <w:t xml:space="preserve">Written notice that appraisal rights are, are not or may be available must be sent to each record shareholder from whom a consent is solicited at the time consent of such shareholder is first solicited and, if the corporation has concluded that appraisal rights are or may be available, must be accompanied by a copy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274, §67 (AMD).]</w:t>
      </w:r>
    </w:p>
    <w:p>
      <w:pPr>
        <w:jc w:val="both"/>
        <w:spacing w:before="100" w:after="0"/>
        <w:ind w:start="720"/>
      </w:pPr>
      <w:r>
        <w:rPr/>
        <w:t>B</w:t>
        <w:t xml:space="preserve">.  </w:t>
      </w:r>
      <w:r>
        <w:rPr/>
      </w:r>
      <w:r>
        <w:t xml:space="preserve">Written notice that appraisal rights are, are not or may be available must be delivered together with the notice to nonconsenting voting and nonvoting shareholders as required by </w:t>
      </w:r>
      <w:r>
        <w:t>section 704, subsections 4</w:t>
      </w:r>
      <w:r>
        <w:t xml:space="preserve"> and </w:t>
      </w:r>
      <w:r>
        <w:t>5</w:t>
      </w:r>
      <w:r>
        <w:t xml:space="preserve">, may include the materials described in </w:t>
      </w:r>
      <w:r>
        <w:t>section 1323</w:t>
      </w:r>
      <w:r>
        <w:t xml:space="preserve"> and, if the corporation has concluded that appraisal rights are or may be available,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§33 (AMD). PL 2011, c. 274,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Notice of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Notice of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§1321. NOTICE OF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