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Articles of dissolution</w:t>
      </w:r>
    </w:p>
    <w:p>
      <w:pPr>
        <w:jc w:val="both"/>
        <w:spacing w:before="100" w:after="100"/>
        <w:ind w:start="360"/>
        <w:ind w:firstLine="360"/>
      </w:pPr>
      <w:r>
        <w:rPr>
          <w:b/>
        </w:rPr>
        <w:t>1</w:t>
        <w:t xml:space="preserve">.  </w:t>
      </w:r>
      <w:r>
        <w:rPr>
          <w:b/>
        </w:rPr>
        <w:t xml:space="preserve">File articles of dissolution with Secretary of State.</w:t>
        <w:t xml:space="preserve"> </w:t>
      </w:r>
      <w:r>
        <w:t xml:space="preserve"> </w:t>
      </w:r>
      <w:r>
        <w:t xml:space="preserve">At any time after dissolution is authorized, a corporation may dissolve by delivering to the Secretary of State for filing articles of dissolution setting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date dissolution was authorized and the effective date of the dissolution; and</w:t>
      </w:r>
      <w:r>
        <w:t xml:space="preserve">  </w:t>
      </w:r>
      <w:r xmlns:wp="http://schemas.openxmlformats.org/drawingml/2010/wordprocessingDrawing" xmlns:w15="http://schemas.microsoft.com/office/word/2012/wordml">
        <w:rPr>
          <w:rFonts w:ascii="Arial" w:hAnsi="Arial" w:cs="Arial"/>
          <w:sz w:val="22"/>
          <w:szCs w:val="22"/>
        </w:rPr>
        <w:t xml:space="preserve">[PL 2003, c. 344, Pt. B, §112 (AMD).]</w:t>
      </w:r>
    </w:p>
    <w:p>
      <w:pPr>
        <w:jc w:val="both"/>
        <w:spacing w:before="100" w:after="0"/>
        <w:ind w:start="720"/>
      </w:pPr>
      <w:r>
        <w:rPr/>
        <w:t>C</w:t>
        <w:t xml:space="preserve">.  </w:t>
      </w:r>
      <w:r>
        <w:rPr/>
      </w:r>
      <w:r>
        <w:t xml:space="preserve">If dissolution was approved by the shareholders, a statement that the proposal to dissolve was duly approved by the shareholders in the manner required by this Act and by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§112 (AMD).]</w:t>
      </w:r>
    </w:p>
    <w:p>
      <w:pPr>
        <w:jc w:val="both"/>
        <w:spacing w:before="100" w:after="0"/>
        <w:ind w:start="360"/>
        <w:ind w:firstLine="360"/>
      </w:pPr>
      <w:r>
        <w:rPr>
          <w:b/>
        </w:rPr>
        <w:t>2</w:t>
        <w:t xml:space="preserve">.  </w:t>
      </w:r>
      <w:r>
        <w:rPr>
          <w:b/>
        </w:rPr>
        <w:t xml:space="preserve">Effective date of dissolution.</w:t>
        <w:t xml:space="preserve"> </w:t>
      </w:r>
      <w:r>
        <w:t xml:space="preserve"> </w:t>
      </w:r>
      <w:r>
        <w:t xml:space="preserve">A corporation is dissolved upon the effective date of its articles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Dissolved corporation.</w:t>
        <w:t xml:space="preserve"> </w:t>
      </w:r>
      <w:r>
        <w:t xml:space="preserve"> </w:t>
      </w:r>
      <w:r>
        <w:t xml:space="preserve">For purposes of this subchapter, "dissolved corporation" means a corporation whose articles of dissolution have become effective.  "Dissolved corporation" includes a successor entity to which the remaining assets of the corporation are transferred subject to its liabilities for purposes of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Other requirements at the time of dissolution.</w:t>
        <w:t xml:space="preserve"> </w:t>
      </w:r>
      <w:r>
        <w:t xml:space="preserve"> </w:t>
      </w:r>
      <w:r>
        <w:t xml:space="preserve">At the time of filing the articles under this section, the Secretary of State may require the corporation to file the annual report required to be filed under </w:t>
      </w:r>
      <w:r>
        <w:t>section 1621</w:t>
      </w:r>
      <w:r>
        <w:t xml:space="preserve"> and pay any fees or penalties owed to the Secretary of State under </w:t>
      </w:r>
      <w:r>
        <w:t>section 1420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§B112 (AMD). PL 2007, c. 231,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 Articles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Articles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§1404. ARTICLES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