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Application to qualified foreign corporations</w:t>
      </w:r>
    </w:p>
    <w:p>
      <w:pPr>
        <w:jc w:val="both"/>
        <w:spacing w:before="100" w:after="100"/>
        <w:ind w:start="360"/>
        <w:ind w:firstLine="360"/>
      </w:pPr>
      <w:r>
        <w:rPr/>
      </w:r>
      <w:r>
        <w:rPr/>
      </w:r>
      <w:r>
        <w:t xml:space="preserve">A foreign corporation authorized to transact business in this State on the effective date of this Act is subject to this Act but is not required to obtain a new certificate of authority to transact business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§1702. Application to qualified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Application to qualified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§1702. APPLICATION TO QUALIFIED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