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 Benefit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Benefit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§1822. BENEFIT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