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Corporation's acquisition of its own shares</w:t>
      </w:r>
    </w:p>
    <w:p>
      <w:pPr>
        <w:jc w:val="both"/>
        <w:spacing w:before="100" w:after="0"/>
        <w:ind w:start="360"/>
        <w:ind w:firstLine="360"/>
      </w:pPr>
      <w:r>
        <w:rPr>
          <w:b/>
        </w:rPr>
        <w:t>1</w:t>
        <w:t xml:space="preserve">.  </w:t>
      </w:r>
      <w:r>
        <w:rPr>
          <w:b/>
        </w:rPr>
        <w:t xml:space="preserve">Acquisition.</w:t>
        <w:t xml:space="preserve"> </w:t>
      </w:r>
      <w:r>
        <w:t xml:space="preserve"> </w:t>
      </w:r>
      <w:r>
        <w:t xml:space="preserve">A corporation may acquire its own shares.  Shares so acquired constitute authorized but unissued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Prohibition on reissuance.</w:t>
        <w:t xml:space="preserve"> </w:t>
      </w:r>
      <w:r>
        <w:t xml:space="preserve"> </w:t>
      </w:r>
      <w:r>
        <w:t xml:space="preserve">If a corporation's articles of incorporation prohibit the reissue of the acquired shares, the number of authorized shares is reduced by the number of shares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 Corporation's acquisition of its own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Corporation's acquisition of its own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§642. CORPORATION'S ACQUISITION OF ITS OWN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