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Qualifications of directors</w:t>
      </w:r>
    </w:p>
    <w:p>
      <w:pPr>
        <w:jc w:val="both"/>
        <w:spacing w:before="100" w:after="0"/>
        <w:ind w:start="360"/>
        <w:ind w:firstLine="360"/>
      </w:pPr>
      <w:r>
        <w:rPr>
          <w:b/>
        </w:rPr>
        <w:t>1</w:t>
        <w:t xml:space="preserve">.  </w:t>
      </w:r>
      <w:r>
        <w:rPr>
          <w:b/>
        </w:rPr>
        <w:t xml:space="preserve">General.</w:t>
        <w:t xml:space="preserve"> </w:t>
      </w:r>
      <w:r>
        <w:t xml:space="preserve"> </w:t>
      </w:r>
      <w:r>
        <w:t xml:space="preserve">The corporation's articles of incorporation or bylaws may prescribe qualifications for directors or for nominees for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2</w:t>
        <w:t xml:space="preserve">.  </w:t>
      </w:r>
      <w:r>
        <w:rPr>
          <w:b/>
        </w:rPr>
        <w:t xml:space="preserve">Residency, shareholder.</w:t>
        <w:t xml:space="preserve"> </w:t>
      </w:r>
      <w:r>
        <w:t xml:space="preserve"> </w:t>
      </w:r>
      <w:r>
        <w:t xml:space="preserve">A director need not be a resident of this State or a shareholder of the corporation unless the articles of incorporation or bylaws so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3</w:t>
        <w:t xml:space="preserve">.  </w:t>
      </w:r>
      <w:r>
        <w:rPr>
          <w:b/>
        </w:rPr>
        <w:t xml:space="preserve">Timing and application of nominee qualifications.</w:t>
        <w:t xml:space="preserve"> </w:t>
      </w:r>
      <w:r>
        <w:t xml:space="preserve"> </w:t>
      </w:r>
      <w:r>
        <w:t xml:space="preserve">A qualification for nomination for director prescribed before a person's nomination applies to such person at the time of nomination.  A qualification for nomination for director prescribed after a person's nomination does not apply to such person with respect to such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4</w:t>
        <w:t xml:space="preserve">.  </w:t>
      </w:r>
      <w:r>
        <w:rPr>
          <w:b/>
        </w:rPr>
        <w:t xml:space="preserve">Timing and application of director qualifications.</w:t>
        <w:t xml:space="preserve"> </w:t>
      </w:r>
      <w:r>
        <w:t xml:space="preserve"> </w:t>
      </w:r>
      <w:r>
        <w:t xml:space="preserve">A qualification for director prescribed before the start of a director's term applies only at the time an individual becomes a director or may apply during a director's term.  A qualification prescribed during a director's term does not apply to that director before the end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Qualifications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Qualifications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§802. QUALIFICATIONS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