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Submission of matters for shareholder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Submission of matters for shareholder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§827. SUBMISSION OF MATTERS FOR SHAREHOLDER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